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0C3FF" w14:textId="77777777" w:rsidR="002F7C3A" w:rsidRPr="00F57989" w:rsidRDefault="002F7C3A" w:rsidP="002F7C3A">
      <w:pPr>
        <w:pStyle w:val="Tabla1Subtitulo"/>
        <w:spacing w:before="0" w:after="0"/>
        <w:rPr>
          <w:rFonts w:ascii="Arial Narrow" w:hAnsi="Arial Narrow"/>
          <w:sz w:val="36"/>
          <w:szCs w:val="36"/>
          <w:lang w:val="es-US"/>
        </w:rPr>
      </w:pPr>
      <w:bookmarkStart w:id="0" w:name="_Toc454620904"/>
      <w:bookmarkStart w:id="1" w:name="_Toc486937342"/>
      <w:bookmarkStart w:id="2" w:name="_Toc347227544"/>
      <w:bookmarkStart w:id="3" w:name="_Toc436903900"/>
      <w:r w:rsidRPr="00F57989">
        <w:rPr>
          <w:rFonts w:ascii="Arial Narrow" w:hAnsi="Arial Narrow"/>
          <w:sz w:val="36"/>
          <w:szCs w:val="36"/>
          <w:lang w:val="es-US"/>
        </w:rPr>
        <w:t xml:space="preserve">Anexo No. 01 </w:t>
      </w:r>
      <w:bookmarkStart w:id="4" w:name="_Toc436903901"/>
    </w:p>
    <w:p w14:paraId="539BF5B6" w14:textId="77777777" w:rsidR="002F7C3A" w:rsidRPr="00F57989" w:rsidRDefault="002F7C3A" w:rsidP="002F7C3A">
      <w:pPr>
        <w:pStyle w:val="Tabla1Subtitulo"/>
        <w:spacing w:before="0" w:after="0"/>
        <w:rPr>
          <w:rFonts w:ascii="Arial Narrow" w:hAnsi="Arial Narrow"/>
          <w:sz w:val="36"/>
          <w:szCs w:val="36"/>
          <w:lang w:val="es-US"/>
        </w:rPr>
      </w:pPr>
      <w:r w:rsidRPr="00F57989">
        <w:rPr>
          <w:rFonts w:ascii="Arial Narrow" w:hAnsi="Arial Narrow"/>
          <w:sz w:val="36"/>
          <w:szCs w:val="36"/>
          <w:lang w:val="es-US"/>
        </w:rPr>
        <w:t xml:space="preserve">Fraude y </w:t>
      </w:r>
      <w:bookmarkEnd w:id="0"/>
      <w:bookmarkEnd w:id="4"/>
      <w:r w:rsidRPr="00F57989">
        <w:rPr>
          <w:rFonts w:ascii="Arial Narrow" w:hAnsi="Arial Narrow"/>
          <w:sz w:val="36"/>
          <w:szCs w:val="36"/>
          <w:lang w:val="es-US"/>
        </w:rPr>
        <w:t>Corrupción</w:t>
      </w:r>
      <w:bookmarkEnd w:id="1"/>
    </w:p>
    <w:bookmarkEnd w:id="2"/>
    <w:bookmarkEnd w:id="3"/>
    <w:p w14:paraId="212E2C7F" w14:textId="77777777" w:rsidR="002F7C3A" w:rsidRPr="00F57989" w:rsidRDefault="002F7C3A" w:rsidP="002F7C3A">
      <w:pPr>
        <w:rPr>
          <w:rFonts w:ascii="Arial Narrow" w:eastAsiaTheme="minorHAnsi" w:hAnsi="Arial Narrow"/>
          <w:lang w:val="es-US"/>
        </w:rPr>
      </w:pPr>
    </w:p>
    <w:p w14:paraId="036DD4C3" w14:textId="77777777" w:rsidR="002F7C3A" w:rsidRPr="00F57989" w:rsidRDefault="002F7C3A" w:rsidP="002F7C3A">
      <w:pPr>
        <w:numPr>
          <w:ilvl w:val="0"/>
          <w:numId w:val="19"/>
        </w:numPr>
        <w:ind w:left="360"/>
        <w:contextualSpacing/>
        <w:jc w:val="both"/>
        <w:rPr>
          <w:rFonts w:ascii="Arial Narrow" w:eastAsiaTheme="minorHAnsi" w:hAnsi="Arial Narrow"/>
          <w:b/>
          <w:lang w:val="es-US"/>
        </w:rPr>
      </w:pPr>
      <w:r w:rsidRPr="00F57989">
        <w:rPr>
          <w:rFonts w:ascii="Arial Narrow" w:eastAsiaTheme="minorHAnsi" w:hAnsi="Arial Narrow"/>
          <w:b/>
          <w:bCs/>
          <w:lang w:val="es-US"/>
        </w:rPr>
        <w:t>Propósito</w:t>
      </w:r>
    </w:p>
    <w:p w14:paraId="27880167" w14:textId="77777777" w:rsidR="002F7C3A" w:rsidRPr="00F57989" w:rsidRDefault="002F7C3A" w:rsidP="002F7C3A">
      <w:pPr>
        <w:pStyle w:val="Prrafodelista"/>
        <w:numPr>
          <w:ilvl w:val="1"/>
          <w:numId w:val="19"/>
        </w:numPr>
        <w:ind w:left="360"/>
        <w:jc w:val="both"/>
        <w:rPr>
          <w:rFonts w:ascii="Arial Narrow" w:eastAsiaTheme="minorHAnsi" w:hAnsi="Arial Narrow"/>
          <w:lang w:val="es-US"/>
        </w:rPr>
      </w:pPr>
      <w:r w:rsidRPr="00F57989">
        <w:rPr>
          <w:rFonts w:ascii="Arial Narrow" w:eastAsiaTheme="minorHAnsi" w:hAnsi="Arial Narrow"/>
          <w:lang w:val="es-US"/>
        </w:rPr>
        <w:t>Las Directrices Contra el Fraude y la Corrupción del Banco y este anexo se aplicarán a las adquisiciones en el marco de las operaciones de Financiamiento para Proyectos de Inversión del Banco.</w:t>
      </w:r>
    </w:p>
    <w:p w14:paraId="27AA879D" w14:textId="77777777" w:rsidR="002F7C3A" w:rsidRPr="00F57989" w:rsidRDefault="002F7C3A" w:rsidP="002F7C3A">
      <w:pPr>
        <w:numPr>
          <w:ilvl w:val="0"/>
          <w:numId w:val="19"/>
        </w:numPr>
        <w:ind w:left="360"/>
        <w:contextualSpacing/>
        <w:jc w:val="both"/>
        <w:rPr>
          <w:rFonts w:ascii="Arial Narrow" w:eastAsiaTheme="minorHAnsi" w:hAnsi="Arial Narrow"/>
          <w:b/>
          <w:lang w:val="es-US"/>
        </w:rPr>
      </w:pPr>
      <w:r w:rsidRPr="00F57989">
        <w:rPr>
          <w:rFonts w:ascii="Arial Narrow" w:eastAsiaTheme="minorHAnsi" w:hAnsi="Arial Narrow"/>
          <w:b/>
          <w:bCs/>
          <w:lang w:val="es-US"/>
        </w:rPr>
        <w:t>Requisitos</w:t>
      </w:r>
    </w:p>
    <w:p w14:paraId="5421588B" w14:textId="77777777" w:rsidR="002F7C3A" w:rsidRPr="00F57989" w:rsidRDefault="002F7C3A" w:rsidP="002F7C3A">
      <w:pPr>
        <w:pStyle w:val="Prrafodelista"/>
        <w:numPr>
          <w:ilvl w:val="0"/>
          <w:numId w:val="20"/>
        </w:numPr>
        <w:autoSpaceDE w:val="0"/>
        <w:autoSpaceDN w:val="0"/>
        <w:adjustRightInd w:val="0"/>
        <w:jc w:val="both"/>
        <w:rPr>
          <w:rFonts w:ascii="Arial Narrow" w:eastAsiaTheme="minorHAnsi" w:hAnsi="Arial Narrow"/>
          <w:lang w:val="es-US"/>
        </w:rPr>
      </w:pPr>
      <w:r w:rsidRPr="00F57989">
        <w:rPr>
          <w:rFonts w:ascii="Arial Narrow" w:eastAsiaTheme="minorHAnsi" w:hAnsi="Arial Narrow"/>
          <w:color w:val="000000"/>
          <w:lang w:val="es-US"/>
        </w:rPr>
        <w:t xml:space="preserve">El Banco exige que los Prestatarios (incluidos los beneficiarios del financiamiento del Banco), licitantes (postulantes / proponentes) , consultores, contratistas y proveedores, todo subcontratista, </w:t>
      </w:r>
      <w:proofErr w:type="spellStart"/>
      <w:r w:rsidRPr="00F57989">
        <w:rPr>
          <w:rFonts w:ascii="Arial Narrow" w:eastAsiaTheme="minorHAnsi" w:hAnsi="Arial Narrow"/>
          <w:color w:val="000000"/>
          <w:lang w:val="es-US"/>
        </w:rPr>
        <w:t>subconsultor</w:t>
      </w:r>
      <w:proofErr w:type="spellEnd"/>
      <w:r w:rsidRPr="00F57989">
        <w:rPr>
          <w:rFonts w:ascii="Arial Narrow" w:eastAsiaTheme="minorHAnsi" w:hAnsi="Arial Narrow"/>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1E4EA36A" w14:textId="77777777" w:rsidR="002F7C3A" w:rsidRPr="00F57989" w:rsidRDefault="002F7C3A" w:rsidP="002F7C3A">
      <w:pPr>
        <w:pStyle w:val="Prrafodelista"/>
        <w:numPr>
          <w:ilvl w:val="0"/>
          <w:numId w:val="20"/>
        </w:numPr>
        <w:autoSpaceDE w:val="0"/>
        <w:autoSpaceDN w:val="0"/>
        <w:adjustRightInd w:val="0"/>
        <w:jc w:val="both"/>
        <w:rPr>
          <w:rFonts w:ascii="Arial Narrow" w:eastAsiaTheme="minorHAnsi" w:hAnsi="Arial Narrow"/>
          <w:lang w:val="es-US"/>
        </w:rPr>
      </w:pPr>
      <w:r w:rsidRPr="00F57989">
        <w:rPr>
          <w:rFonts w:ascii="Arial Narrow" w:eastAsiaTheme="minorHAnsi" w:hAnsi="Arial Narrow"/>
          <w:lang w:val="es-US"/>
        </w:rPr>
        <w:t>Con ese fin, el Banco:</w:t>
      </w:r>
    </w:p>
    <w:p w14:paraId="49DFE7F5" w14:textId="77777777" w:rsidR="002F7C3A" w:rsidRPr="00F57989" w:rsidRDefault="002F7C3A" w:rsidP="002F7C3A">
      <w:pPr>
        <w:numPr>
          <w:ilvl w:val="0"/>
          <w:numId w:val="15"/>
        </w:numPr>
        <w:autoSpaceDE w:val="0"/>
        <w:autoSpaceDN w:val="0"/>
        <w:adjustRightInd w:val="0"/>
        <w:jc w:val="both"/>
        <w:rPr>
          <w:rFonts w:ascii="Arial Narrow" w:eastAsiaTheme="minorHAnsi" w:hAnsi="Arial Narrow"/>
          <w:color w:val="000000"/>
          <w:lang w:val="es-US"/>
        </w:rPr>
      </w:pPr>
      <w:r w:rsidRPr="00F57989">
        <w:rPr>
          <w:rFonts w:ascii="Arial Narrow" w:eastAsiaTheme="minorHAnsi" w:hAnsi="Arial Narrow"/>
          <w:color w:val="000000"/>
          <w:lang w:val="es-US"/>
        </w:rPr>
        <w:t>Define de la siguiente manera, a los efectos de esta disposición, las expresiones que se indican a continuación:</w:t>
      </w:r>
    </w:p>
    <w:p w14:paraId="2DD282AA" w14:textId="77777777" w:rsidR="002F7C3A" w:rsidRPr="00F57989" w:rsidRDefault="002F7C3A" w:rsidP="002F7C3A">
      <w:pPr>
        <w:numPr>
          <w:ilvl w:val="0"/>
          <w:numId w:val="16"/>
        </w:numPr>
        <w:autoSpaceDE w:val="0"/>
        <w:autoSpaceDN w:val="0"/>
        <w:adjustRightInd w:val="0"/>
        <w:ind w:left="1980" w:hanging="180"/>
        <w:jc w:val="both"/>
        <w:rPr>
          <w:rFonts w:ascii="Arial Narrow" w:eastAsiaTheme="minorHAnsi" w:hAnsi="Arial Narrow"/>
          <w:color w:val="000000"/>
          <w:lang w:val="es-US"/>
        </w:rPr>
      </w:pPr>
      <w:r w:rsidRPr="00F57989">
        <w:rPr>
          <w:rFonts w:ascii="Arial Narrow" w:eastAsiaTheme="minorHAnsi" w:hAnsi="Arial Narrow"/>
          <w:color w:val="000000"/>
          <w:lang w:val="es-US"/>
        </w:rPr>
        <w:t>Por “práctica corrupta” se entiende el ofrecimiento, entrega, aceptación o solicitud directa o indirecta de cualquier cosa de valor con el fin de influir indebidamente en el accionar de otra parte.</w:t>
      </w:r>
    </w:p>
    <w:p w14:paraId="7FEB735E" w14:textId="77777777" w:rsidR="002F7C3A" w:rsidRPr="00F57989" w:rsidRDefault="002F7C3A" w:rsidP="002F7C3A">
      <w:pPr>
        <w:numPr>
          <w:ilvl w:val="0"/>
          <w:numId w:val="16"/>
        </w:numPr>
        <w:autoSpaceDE w:val="0"/>
        <w:autoSpaceDN w:val="0"/>
        <w:adjustRightInd w:val="0"/>
        <w:ind w:left="1980" w:hanging="180"/>
        <w:jc w:val="both"/>
        <w:rPr>
          <w:rFonts w:ascii="Arial Narrow" w:eastAsiaTheme="minorHAnsi" w:hAnsi="Arial Narrow"/>
          <w:color w:val="000000"/>
          <w:lang w:val="es-US"/>
        </w:rPr>
      </w:pPr>
      <w:r w:rsidRPr="00F57989">
        <w:rPr>
          <w:rFonts w:ascii="Arial Narrow" w:eastAsiaTheme="minorHAnsi" w:hAnsi="Arial Narrow"/>
          <w:color w:val="000000"/>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6B5E586" w14:textId="77777777" w:rsidR="002F7C3A" w:rsidRPr="00F57989" w:rsidRDefault="002F7C3A" w:rsidP="002F7C3A">
      <w:pPr>
        <w:numPr>
          <w:ilvl w:val="0"/>
          <w:numId w:val="16"/>
        </w:numPr>
        <w:autoSpaceDE w:val="0"/>
        <w:autoSpaceDN w:val="0"/>
        <w:adjustRightInd w:val="0"/>
        <w:ind w:left="1980" w:hanging="180"/>
        <w:jc w:val="both"/>
        <w:rPr>
          <w:rFonts w:ascii="Arial Narrow" w:eastAsiaTheme="minorHAnsi" w:hAnsi="Arial Narrow"/>
          <w:color w:val="000000"/>
          <w:lang w:val="es-US"/>
        </w:rPr>
      </w:pPr>
      <w:r w:rsidRPr="00F57989">
        <w:rPr>
          <w:rFonts w:ascii="Arial Narrow" w:eastAsiaTheme="minorHAnsi" w:hAnsi="Arial Narrow"/>
          <w:color w:val="000000"/>
          <w:lang w:val="es-US"/>
        </w:rPr>
        <w:t>Por “práctica colusoria” se entiende todo arreglo entre dos o más partes realizado con la intención de alcanzar un propósito ilícito, como el de influir de forma indebida en el accionar de otra parte.</w:t>
      </w:r>
    </w:p>
    <w:p w14:paraId="0B32E946" w14:textId="77777777" w:rsidR="002F7C3A" w:rsidRPr="00F57989" w:rsidRDefault="002F7C3A" w:rsidP="002F7C3A">
      <w:pPr>
        <w:numPr>
          <w:ilvl w:val="0"/>
          <w:numId w:val="16"/>
        </w:numPr>
        <w:autoSpaceDE w:val="0"/>
        <w:autoSpaceDN w:val="0"/>
        <w:adjustRightInd w:val="0"/>
        <w:ind w:left="1980" w:hanging="180"/>
        <w:jc w:val="both"/>
        <w:rPr>
          <w:rFonts w:ascii="Arial Narrow" w:eastAsiaTheme="minorHAnsi" w:hAnsi="Arial Narrow"/>
          <w:color w:val="000000"/>
          <w:lang w:val="es-US"/>
        </w:rPr>
      </w:pPr>
      <w:r w:rsidRPr="00F57989">
        <w:rPr>
          <w:rFonts w:ascii="Arial Narrow" w:eastAsiaTheme="minorHAnsi" w:hAnsi="Arial Narrow"/>
          <w:color w:val="000000"/>
          <w:lang w:val="es-US"/>
        </w:rPr>
        <w:t>Por “práctica coercitiva” se entiende el perjuicio o daño o la amenaza de causar perjuicio o daño directa o indirectamente a cualquiera de las partes o a sus bienes para influir de forma indebida en su accionar.</w:t>
      </w:r>
    </w:p>
    <w:p w14:paraId="3B2BE09F" w14:textId="77777777" w:rsidR="002F7C3A" w:rsidRPr="00F57989" w:rsidRDefault="002F7C3A" w:rsidP="002F7C3A">
      <w:pPr>
        <w:numPr>
          <w:ilvl w:val="0"/>
          <w:numId w:val="16"/>
        </w:numPr>
        <w:autoSpaceDE w:val="0"/>
        <w:autoSpaceDN w:val="0"/>
        <w:adjustRightInd w:val="0"/>
        <w:ind w:left="1980" w:hanging="180"/>
        <w:jc w:val="both"/>
        <w:rPr>
          <w:rFonts w:ascii="Arial Narrow" w:eastAsiaTheme="minorHAnsi" w:hAnsi="Arial Narrow"/>
          <w:color w:val="000000"/>
          <w:lang w:val="es-US"/>
        </w:rPr>
      </w:pPr>
      <w:r w:rsidRPr="00F57989">
        <w:rPr>
          <w:rFonts w:ascii="Arial Narrow" w:eastAsiaTheme="minorHAnsi" w:hAnsi="Arial Narrow"/>
          <w:color w:val="000000"/>
          <w:lang w:val="es-US"/>
        </w:rPr>
        <w:t>Por “práctica obstructiva” se entiende:</w:t>
      </w:r>
    </w:p>
    <w:p w14:paraId="1D550476" w14:textId="77777777" w:rsidR="002F7C3A" w:rsidRPr="00F57989" w:rsidRDefault="002F7C3A" w:rsidP="002F7C3A">
      <w:pPr>
        <w:numPr>
          <w:ilvl w:val="0"/>
          <w:numId w:val="17"/>
        </w:numPr>
        <w:autoSpaceDE w:val="0"/>
        <w:autoSpaceDN w:val="0"/>
        <w:adjustRightInd w:val="0"/>
        <w:ind w:left="2881" w:hanging="539"/>
        <w:jc w:val="both"/>
        <w:rPr>
          <w:rFonts w:ascii="Arial Narrow" w:eastAsiaTheme="minorHAnsi" w:hAnsi="Arial Narrow"/>
          <w:color w:val="000000"/>
          <w:lang w:val="es-US"/>
        </w:rPr>
      </w:pPr>
      <w:r w:rsidRPr="00F57989">
        <w:rPr>
          <w:rFonts w:ascii="Arial Narrow" w:eastAsiaTheme="minorHAnsi" w:hAnsi="Arial Narrow"/>
          <w:color w:val="000000"/>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6198EE65" w14:textId="77777777" w:rsidR="002F7C3A" w:rsidRPr="00F57989" w:rsidRDefault="002F7C3A" w:rsidP="002F7C3A">
      <w:pPr>
        <w:numPr>
          <w:ilvl w:val="0"/>
          <w:numId w:val="17"/>
        </w:numPr>
        <w:autoSpaceDE w:val="0"/>
        <w:autoSpaceDN w:val="0"/>
        <w:adjustRightInd w:val="0"/>
        <w:ind w:hanging="540"/>
        <w:jc w:val="both"/>
        <w:rPr>
          <w:rFonts w:ascii="Arial Narrow" w:eastAsiaTheme="minorHAnsi" w:hAnsi="Arial Narrow"/>
          <w:color w:val="000000"/>
          <w:lang w:val="es-US"/>
        </w:rPr>
      </w:pPr>
      <w:r w:rsidRPr="00F57989">
        <w:rPr>
          <w:rFonts w:ascii="Arial Narrow" w:eastAsiaTheme="minorHAnsi" w:hAnsi="Arial Narrow"/>
          <w:color w:val="000000"/>
          <w:lang w:val="es-US"/>
        </w:rPr>
        <w:t>los actos destinados a impedir materialmente que el Banco ejerza sus derechos de inspección y auditoría establecidos en el párrafo 2.2 e, que figura a continuación.</w:t>
      </w:r>
    </w:p>
    <w:p w14:paraId="42FE7621" w14:textId="77777777" w:rsidR="002F7C3A" w:rsidRPr="00F57989" w:rsidRDefault="002F7C3A" w:rsidP="002F7C3A">
      <w:pPr>
        <w:numPr>
          <w:ilvl w:val="0"/>
          <w:numId w:val="15"/>
        </w:numPr>
        <w:autoSpaceDE w:val="0"/>
        <w:autoSpaceDN w:val="0"/>
        <w:adjustRightInd w:val="0"/>
        <w:jc w:val="both"/>
        <w:rPr>
          <w:rFonts w:ascii="Arial Narrow" w:eastAsiaTheme="minorHAnsi" w:hAnsi="Arial Narrow"/>
          <w:color w:val="000000"/>
          <w:lang w:val="es-US"/>
        </w:rPr>
      </w:pPr>
      <w:r w:rsidRPr="00F57989">
        <w:rPr>
          <w:rFonts w:ascii="Arial Narrow" w:eastAsiaTheme="minorHAnsi" w:hAnsi="Arial Narrow"/>
          <w:color w:val="000000"/>
          <w:lang w:val="es-US"/>
        </w:rPr>
        <w:t xml:space="preserve">Rechazará toda propuesta de adjudicación si determina que la empresa o persona recomendada para la adjudicación, los miembros de su personal, sus agentes, </w:t>
      </w:r>
      <w:proofErr w:type="spellStart"/>
      <w:r w:rsidRPr="00F57989">
        <w:rPr>
          <w:rFonts w:ascii="Arial Narrow" w:eastAsiaTheme="minorHAnsi" w:hAnsi="Arial Narrow"/>
          <w:color w:val="000000"/>
          <w:lang w:val="es-US"/>
        </w:rPr>
        <w:t>subconsultores</w:t>
      </w:r>
      <w:proofErr w:type="spellEnd"/>
      <w:r w:rsidRPr="00F57989">
        <w:rPr>
          <w:rFonts w:ascii="Arial Narrow" w:eastAsiaTheme="minorHAnsi" w:hAnsi="Arial Narrow"/>
          <w:color w:val="000000"/>
          <w:lang w:val="es-US"/>
        </w:rPr>
        <w:t>, subcontratistas, prestadores de servicios, proveedores o empleados han participado, directa o indirectamente, en prácticas corruptas, fraudulentas, colusorias, coercitivas u obstructivas para competir por el contrato en cuestión.</w:t>
      </w:r>
    </w:p>
    <w:p w14:paraId="370696DF" w14:textId="77777777" w:rsidR="002F7C3A" w:rsidRPr="00F57989" w:rsidRDefault="002F7C3A" w:rsidP="002F7C3A">
      <w:pPr>
        <w:numPr>
          <w:ilvl w:val="0"/>
          <w:numId w:val="15"/>
        </w:numPr>
        <w:autoSpaceDE w:val="0"/>
        <w:autoSpaceDN w:val="0"/>
        <w:adjustRightInd w:val="0"/>
        <w:jc w:val="both"/>
        <w:rPr>
          <w:rFonts w:ascii="Arial Narrow" w:eastAsiaTheme="minorHAnsi" w:hAnsi="Arial Narrow"/>
          <w:lang w:val="es-US"/>
        </w:rPr>
      </w:pPr>
      <w:r w:rsidRPr="00F57989">
        <w:rPr>
          <w:rFonts w:ascii="Arial Narrow" w:hAnsi="Arial Narrow"/>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2D6BC69" w14:textId="77777777" w:rsidR="002F7C3A" w:rsidRPr="00F57989" w:rsidRDefault="002F7C3A" w:rsidP="002F7C3A">
      <w:pPr>
        <w:numPr>
          <w:ilvl w:val="0"/>
          <w:numId w:val="15"/>
        </w:numPr>
        <w:autoSpaceDE w:val="0"/>
        <w:autoSpaceDN w:val="0"/>
        <w:adjustRightInd w:val="0"/>
        <w:jc w:val="both"/>
        <w:rPr>
          <w:rFonts w:ascii="Arial Narrow" w:eastAsiaTheme="minorHAnsi" w:hAnsi="Arial Narrow"/>
          <w:color w:val="000000"/>
          <w:lang w:val="es-US"/>
        </w:rPr>
      </w:pPr>
      <w:r w:rsidRPr="00F57989">
        <w:rPr>
          <w:rFonts w:ascii="Arial Narrow" w:eastAsiaTheme="minorHAnsi" w:hAnsi="Arial Narrow"/>
          <w:color w:val="000000"/>
          <w:lang w:val="es-US"/>
        </w:rPr>
        <w:lastRenderedPageBreak/>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F57989">
        <w:rPr>
          <w:rStyle w:val="Refdenotaalpie"/>
          <w:rFonts w:ascii="Arial Narrow" w:eastAsiaTheme="minorHAnsi" w:hAnsi="Arial Narrow"/>
          <w:color w:val="000000"/>
          <w:lang w:val="es-US"/>
        </w:rPr>
        <w:footnoteReference w:id="1"/>
      </w:r>
      <w:r w:rsidRPr="00F57989">
        <w:rPr>
          <w:rFonts w:ascii="Arial Narrow" w:eastAsiaTheme="minorHAnsi" w:hAnsi="Arial Narrow"/>
          <w:color w:val="000000"/>
          <w:lang w:val="es-US"/>
        </w:rPr>
        <w:t>; (ii) ser nominada</w:t>
      </w:r>
      <w:r w:rsidRPr="00F57989">
        <w:rPr>
          <w:rStyle w:val="Refdenotaalpie"/>
          <w:rFonts w:ascii="Arial Narrow" w:eastAsiaTheme="minorHAnsi" w:hAnsi="Arial Narrow"/>
          <w:color w:val="000000"/>
          <w:lang w:val="es-US"/>
        </w:rPr>
        <w:footnoteReference w:id="2"/>
      </w:r>
      <w:r w:rsidRPr="00F57989">
        <w:rPr>
          <w:rFonts w:ascii="Arial Narrow" w:eastAsiaTheme="minorHAnsi" w:hAnsi="Arial Narrow"/>
          <w:color w:val="000000"/>
          <w:lang w:val="es-US"/>
        </w:rPr>
        <w:t xml:space="preserve">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5306C1FD" w14:textId="77777777" w:rsidR="002F7C3A" w:rsidRPr="00F57989" w:rsidRDefault="002F7C3A" w:rsidP="002F7C3A">
      <w:pPr>
        <w:numPr>
          <w:ilvl w:val="0"/>
          <w:numId w:val="15"/>
        </w:numPr>
        <w:autoSpaceDE w:val="0"/>
        <w:autoSpaceDN w:val="0"/>
        <w:adjustRightInd w:val="0"/>
        <w:jc w:val="both"/>
        <w:rPr>
          <w:rFonts w:ascii="Arial Narrow" w:hAnsi="Arial Narrow"/>
          <w:lang w:val="es-US"/>
        </w:rPr>
      </w:pPr>
      <w:r w:rsidRPr="00F57989">
        <w:rPr>
          <w:rFonts w:ascii="Arial Narrow" w:eastAsiaTheme="minorHAnsi" w:hAnsi="Arial Narrow"/>
          <w:color w:val="000000"/>
          <w:lang w:val="es-US"/>
        </w:rPr>
        <w:t xml:space="preserve">Exigirá que en los documentos de solicitud de ofertas/propuestas/cotizaciones y en los contratos financiados con préstamos del Banco se incluya una cláusula en la que se exija que los licitantes (postulantes / proponentes), consultores, contratistas y proveedores, así como sus respectivos subcontratistas, </w:t>
      </w:r>
      <w:proofErr w:type="spellStart"/>
      <w:r w:rsidRPr="00F57989">
        <w:rPr>
          <w:rFonts w:ascii="Arial Narrow" w:eastAsiaTheme="minorHAnsi" w:hAnsi="Arial Narrow"/>
          <w:color w:val="000000"/>
          <w:lang w:val="es-US"/>
        </w:rPr>
        <w:t>subconsultores</w:t>
      </w:r>
      <w:proofErr w:type="spellEnd"/>
      <w:r w:rsidRPr="00F57989">
        <w:rPr>
          <w:rFonts w:ascii="Arial Narrow" w:eastAsiaTheme="minorHAnsi" w:hAnsi="Arial Narrow"/>
          <w:color w:val="000000"/>
          <w:lang w:val="es-US"/>
        </w:rPr>
        <w:t>, prestadores de servicios, proveedores, agentes y personal, permitan al Banco inspeccionar</w:t>
      </w:r>
      <w:r w:rsidRPr="00F57989">
        <w:rPr>
          <w:rStyle w:val="Refdenotaalpie"/>
          <w:rFonts w:ascii="Arial Narrow" w:eastAsiaTheme="minorHAnsi" w:hAnsi="Arial Narrow"/>
          <w:color w:val="000000"/>
          <w:lang w:val="es-US"/>
        </w:rPr>
        <w:footnoteReference w:id="3"/>
      </w:r>
      <w:r w:rsidRPr="00F57989">
        <w:rPr>
          <w:rFonts w:ascii="Arial Narrow" w:eastAsiaTheme="minorHAnsi" w:hAnsi="Arial Narrow"/>
          <w:color w:val="000000"/>
          <w:lang w:val="es-US"/>
        </w:rPr>
        <w:t xml:space="preserve"> todas las cuentas, registros y otros documentos referidos a la presentación de ofertas y la ejecución de contratos, y someterlos a la auditoría de profesionales nombrados por este.</w:t>
      </w:r>
    </w:p>
    <w:p w14:paraId="454CE971" w14:textId="77777777" w:rsidR="002F7C3A" w:rsidRPr="00F57989" w:rsidRDefault="002F7C3A" w:rsidP="002F7C3A">
      <w:pPr>
        <w:rPr>
          <w:rFonts w:ascii="Arial Narrow" w:hAnsi="Arial Narrow"/>
          <w:lang w:val="es-US"/>
        </w:rPr>
      </w:pPr>
    </w:p>
    <w:p w14:paraId="43A95278" w14:textId="013F81C3" w:rsidR="00CE23E1" w:rsidRPr="002F7C3A" w:rsidRDefault="00CE23E1" w:rsidP="002F7C3A">
      <w:pPr>
        <w:rPr>
          <w:lang w:val="es-US"/>
        </w:rPr>
      </w:pPr>
    </w:p>
    <w:sectPr w:rsidR="00CE23E1" w:rsidRPr="002F7C3A" w:rsidSect="00CA2BF0">
      <w:headerReference w:type="default" r:id="rId7"/>
      <w:footerReference w:type="default" r:id="rId8"/>
      <w:pgSz w:w="12240" w:h="15840"/>
      <w:pgMar w:top="1185"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69B3C" w14:textId="77777777" w:rsidR="00AC2536" w:rsidRDefault="00AC2536" w:rsidP="000B6285">
      <w:r>
        <w:separator/>
      </w:r>
    </w:p>
  </w:endnote>
  <w:endnote w:type="continuationSeparator" w:id="0">
    <w:p w14:paraId="07005EBD" w14:textId="77777777" w:rsidR="00AC2536" w:rsidRDefault="00AC2536" w:rsidP="000B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CBD7" w14:textId="77777777" w:rsidR="00B83768" w:rsidRDefault="00B83768"/>
  <w:tbl>
    <w:tblPr>
      <w:tblStyle w:val="Tablaconcuadrcula"/>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7654"/>
      <w:gridCol w:w="1418"/>
    </w:tblGrid>
    <w:tr w:rsidR="004A449E" w14:paraId="5613BA4D" w14:textId="77777777" w:rsidTr="00B83768">
      <w:trPr>
        <w:trHeight w:val="1365"/>
      </w:trPr>
      <w:tc>
        <w:tcPr>
          <w:tcW w:w="1844" w:type="dxa"/>
        </w:tcPr>
        <w:p w14:paraId="2E24ED0B" w14:textId="77777777" w:rsidR="00B83768" w:rsidRDefault="00B83768" w:rsidP="004A449E">
          <w:pPr>
            <w:pStyle w:val="Piedepgina"/>
            <w:jc w:val="center"/>
            <w:rPr>
              <w:noProof/>
              <w:lang w:val="es-CO"/>
            </w:rPr>
          </w:pPr>
        </w:p>
        <w:p w14:paraId="59A69516" w14:textId="37E1FAD6" w:rsidR="004A449E" w:rsidRDefault="00CE41C1" w:rsidP="004A449E">
          <w:pPr>
            <w:pStyle w:val="Piedepgina"/>
            <w:jc w:val="center"/>
          </w:pPr>
          <w:r>
            <w:rPr>
              <w:noProof/>
              <w:lang w:val="es-CO"/>
            </w:rPr>
            <w:drawing>
              <wp:inline distT="0" distB="0" distL="0" distR="0" wp14:anchorId="7360B5DC" wp14:editId="602DBC1F">
                <wp:extent cx="929501" cy="407860"/>
                <wp:effectExtent l="0" t="0" r="1079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rtificado-meci-2x2.jpg"/>
                        <pic:cNvPicPr/>
                      </pic:nvPicPr>
                      <pic:blipFill>
                        <a:blip r:embed="rId1">
                          <a:extLst>
                            <a:ext uri="{28A0092B-C50C-407E-A947-70E740481C1C}">
                              <a14:useLocalDpi xmlns:a14="http://schemas.microsoft.com/office/drawing/2010/main" val="0"/>
                            </a:ext>
                          </a:extLst>
                        </a:blip>
                        <a:stretch>
                          <a:fillRect/>
                        </a:stretch>
                      </pic:blipFill>
                      <pic:spPr>
                        <a:xfrm>
                          <a:off x="0" y="0"/>
                          <a:ext cx="929501" cy="407860"/>
                        </a:xfrm>
                        <a:prstGeom prst="rect">
                          <a:avLst/>
                        </a:prstGeom>
                      </pic:spPr>
                    </pic:pic>
                  </a:graphicData>
                </a:graphic>
              </wp:inline>
            </w:drawing>
          </w:r>
        </w:p>
      </w:tc>
      <w:tc>
        <w:tcPr>
          <w:tcW w:w="7654" w:type="dxa"/>
        </w:tcPr>
        <w:p w14:paraId="66B261E1" w14:textId="77777777" w:rsidR="00765D0E" w:rsidRPr="00765D0E" w:rsidRDefault="00765D0E" w:rsidP="004A449E">
          <w:pPr>
            <w:pStyle w:val="Piedepgina"/>
            <w:jc w:val="center"/>
            <w:rPr>
              <w:highlight w:val="lightGray"/>
            </w:rPr>
          </w:pPr>
        </w:p>
        <w:p w14:paraId="6461DC5D" w14:textId="77777777" w:rsidR="004A449E" w:rsidRPr="00A31D5F" w:rsidRDefault="004A449E" w:rsidP="004A449E">
          <w:pPr>
            <w:pStyle w:val="Piedepgina"/>
            <w:jc w:val="center"/>
            <w:rPr>
              <w:highlight w:val="lightGray"/>
            </w:rPr>
          </w:pPr>
          <w:r w:rsidRPr="00A31D5F">
            <w:rPr>
              <w:highlight w:val="lightGray"/>
            </w:rPr>
            <w:t>Investigación Científica para el Desarrollo Sostenible de la Región Amazónica Colombiana</w:t>
          </w:r>
        </w:p>
        <w:p w14:paraId="194FBDA5" w14:textId="42ACC4AB" w:rsidR="00B62DCB" w:rsidRPr="00554444" w:rsidRDefault="004A449E" w:rsidP="004A449E">
          <w:pPr>
            <w:pStyle w:val="Piedepgina"/>
            <w:jc w:val="center"/>
            <w:rPr>
              <w:sz w:val="18"/>
              <w:szCs w:val="18"/>
            </w:rPr>
          </w:pPr>
          <w:r w:rsidRPr="00554444">
            <w:rPr>
              <w:sz w:val="18"/>
              <w:szCs w:val="18"/>
            </w:rPr>
            <w:t>Sede Principal: Av. Vásquez Cobo ent</w:t>
          </w:r>
          <w:r w:rsidR="005665C5">
            <w:rPr>
              <w:sz w:val="18"/>
              <w:szCs w:val="18"/>
            </w:rPr>
            <w:t>r</w:t>
          </w:r>
          <w:r w:rsidRPr="00554444">
            <w:rPr>
              <w:sz w:val="18"/>
              <w:szCs w:val="18"/>
            </w:rPr>
            <w:t xml:space="preserve">e Calles 15 y 16, Tel: </w:t>
          </w:r>
          <w:r w:rsidR="005665C5">
            <w:rPr>
              <w:sz w:val="18"/>
              <w:szCs w:val="18"/>
            </w:rPr>
            <w:t>(</w:t>
          </w:r>
          <w:r w:rsidRPr="00554444">
            <w:rPr>
              <w:sz w:val="18"/>
              <w:szCs w:val="18"/>
            </w:rPr>
            <w:t>8)</w:t>
          </w:r>
          <w:r w:rsidR="005665C5">
            <w:rPr>
              <w:sz w:val="18"/>
              <w:szCs w:val="18"/>
            </w:rPr>
            <w:t xml:space="preserve"> </w:t>
          </w:r>
          <w:r w:rsidRPr="00554444">
            <w:rPr>
              <w:sz w:val="18"/>
              <w:szCs w:val="18"/>
            </w:rPr>
            <w:t>5925481/5925479</w:t>
          </w:r>
          <w:r w:rsidR="005665C5">
            <w:rPr>
              <w:sz w:val="18"/>
              <w:szCs w:val="18"/>
            </w:rPr>
            <w:t xml:space="preserve"> </w:t>
          </w:r>
          <w:r w:rsidRPr="00554444">
            <w:rPr>
              <w:sz w:val="18"/>
              <w:szCs w:val="18"/>
            </w:rPr>
            <w:t>- Tele fax</w:t>
          </w:r>
          <w:r w:rsidR="00F12082">
            <w:rPr>
              <w:sz w:val="18"/>
              <w:szCs w:val="18"/>
            </w:rPr>
            <w:t>:</w:t>
          </w:r>
        </w:p>
        <w:p w14:paraId="232B1EF6" w14:textId="557C7B0F" w:rsidR="004A449E" w:rsidRPr="00554444" w:rsidRDefault="004A449E" w:rsidP="004A449E">
          <w:pPr>
            <w:pStyle w:val="Piedepgina"/>
            <w:jc w:val="center"/>
            <w:rPr>
              <w:sz w:val="18"/>
              <w:szCs w:val="18"/>
            </w:rPr>
          </w:pPr>
          <w:r w:rsidRPr="00554444">
            <w:rPr>
              <w:sz w:val="18"/>
              <w:szCs w:val="18"/>
            </w:rPr>
            <w:t xml:space="preserve"> (8) 5928171 Leticia</w:t>
          </w:r>
          <w:r w:rsidR="005665C5">
            <w:rPr>
              <w:sz w:val="18"/>
              <w:szCs w:val="18"/>
            </w:rPr>
            <w:t xml:space="preserve"> - </w:t>
          </w:r>
          <w:r w:rsidRPr="00554444">
            <w:rPr>
              <w:sz w:val="18"/>
              <w:szCs w:val="18"/>
            </w:rPr>
            <w:t>Amazonas</w:t>
          </w:r>
        </w:p>
        <w:p w14:paraId="484F89CD" w14:textId="45AC5342" w:rsidR="004A449E" w:rsidRPr="00554444" w:rsidRDefault="004A449E" w:rsidP="004A449E">
          <w:pPr>
            <w:pStyle w:val="Piedepgina"/>
            <w:jc w:val="center"/>
            <w:rPr>
              <w:sz w:val="18"/>
              <w:szCs w:val="18"/>
            </w:rPr>
          </w:pPr>
          <w:r w:rsidRPr="00554444">
            <w:rPr>
              <w:sz w:val="18"/>
              <w:szCs w:val="18"/>
            </w:rPr>
            <w:t>Oficina de Enlace: Calle 20 No. 5</w:t>
          </w:r>
          <w:r w:rsidR="005665C5">
            <w:rPr>
              <w:sz w:val="18"/>
              <w:szCs w:val="18"/>
            </w:rPr>
            <w:t xml:space="preserve"> - </w:t>
          </w:r>
          <w:r w:rsidRPr="00554444">
            <w:rPr>
              <w:sz w:val="18"/>
              <w:szCs w:val="18"/>
            </w:rPr>
            <w:t>44</w:t>
          </w:r>
          <w:r w:rsidR="005665C5">
            <w:rPr>
              <w:sz w:val="18"/>
              <w:szCs w:val="18"/>
            </w:rPr>
            <w:t>,</w:t>
          </w:r>
          <w:r w:rsidRPr="00554444">
            <w:rPr>
              <w:sz w:val="18"/>
              <w:szCs w:val="18"/>
            </w:rPr>
            <w:t xml:space="preserve"> </w:t>
          </w:r>
          <w:proofErr w:type="spellStart"/>
          <w:r w:rsidRPr="00554444">
            <w:rPr>
              <w:sz w:val="18"/>
              <w:szCs w:val="18"/>
            </w:rPr>
            <w:t>Pbx</w:t>
          </w:r>
          <w:proofErr w:type="spellEnd"/>
          <w:r w:rsidR="005665C5">
            <w:rPr>
              <w:sz w:val="18"/>
              <w:szCs w:val="18"/>
            </w:rPr>
            <w:t>:</w:t>
          </w:r>
          <w:r w:rsidRPr="00554444">
            <w:rPr>
              <w:sz w:val="18"/>
              <w:szCs w:val="18"/>
            </w:rPr>
            <w:t xml:space="preserve"> 4442060</w:t>
          </w:r>
          <w:r w:rsidR="005665C5">
            <w:rPr>
              <w:sz w:val="18"/>
              <w:szCs w:val="18"/>
            </w:rPr>
            <w:t xml:space="preserve"> </w:t>
          </w:r>
          <w:r w:rsidRPr="00554444">
            <w:rPr>
              <w:sz w:val="18"/>
              <w:szCs w:val="18"/>
            </w:rPr>
            <w:t>Bogotá</w:t>
          </w:r>
        </w:p>
        <w:p w14:paraId="2E664D6C" w14:textId="77777777" w:rsidR="004A449E" w:rsidRPr="00765D0E" w:rsidRDefault="004A449E" w:rsidP="00B62DCB">
          <w:pPr>
            <w:pStyle w:val="Piedepgina"/>
            <w:jc w:val="center"/>
            <w:rPr>
              <w:sz w:val="18"/>
            </w:rPr>
          </w:pPr>
          <w:r w:rsidRPr="00554444">
            <w:rPr>
              <w:sz w:val="18"/>
              <w:szCs w:val="18"/>
            </w:rPr>
            <w:t>www.sinchi.org.co</w:t>
          </w:r>
        </w:p>
      </w:tc>
      <w:tc>
        <w:tcPr>
          <w:tcW w:w="1418" w:type="dxa"/>
        </w:tcPr>
        <w:p w14:paraId="25B4FACF" w14:textId="37D2DF80" w:rsidR="00B83768" w:rsidRDefault="00B83768" w:rsidP="004A449E">
          <w:pPr>
            <w:pStyle w:val="Piedepgina"/>
            <w:jc w:val="center"/>
            <w:rPr>
              <w:noProof/>
              <w:lang w:val="es-CO"/>
            </w:rPr>
          </w:pPr>
        </w:p>
        <w:p w14:paraId="2B06911F" w14:textId="2FD4F397" w:rsidR="00B83768" w:rsidRDefault="00626B00" w:rsidP="004A449E">
          <w:pPr>
            <w:pStyle w:val="Piedepgina"/>
            <w:jc w:val="center"/>
            <w:rPr>
              <w:noProof/>
              <w:lang w:val="es-CO"/>
            </w:rPr>
          </w:pPr>
          <w:r w:rsidRPr="00626B00">
            <w:rPr>
              <w:noProof/>
              <w:lang w:val="es-CO"/>
            </w:rPr>
            <w:drawing>
              <wp:inline distT="0" distB="0" distL="0" distR="0" wp14:anchorId="1791A347" wp14:editId="49318FD8">
                <wp:extent cx="885949" cy="409632"/>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chi3.png"/>
                        <pic:cNvPicPr/>
                      </pic:nvPicPr>
                      <pic:blipFill>
                        <a:blip r:embed="rId2">
                          <a:extLst>
                            <a:ext uri="{28A0092B-C50C-407E-A947-70E740481C1C}">
                              <a14:useLocalDpi xmlns:a14="http://schemas.microsoft.com/office/drawing/2010/main" val="0"/>
                            </a:ext>
                          </a:extLst>
                        </a:blip>
                        <a:stretch>
                          <a:fillRect/>
                        </a:stretch>
                      </pic:blipFill>
                      <pic:spPr>
                        <a:xfrm>
                          <a:off x="0" y="0"/>
                          <a:ext cx="885949" cy="409632"/>
                        </a:xfrm>
                        <a:prstGeom prst="rect">
                          <a:avLst/>
                        </a:prstGeom>
                      </pic:spPr>
                    </pic:pic>
                  </a:graphicData>
                </a:graphic>
              </wp:inline>
            </w:drawing>
          </w:r>
        </w:p>
        <w:p w14:paraId="35FA1566" w14:textId="18B38F5D" w:rsidR="004A449E" w:rsidRDefault="004A449E" w:rsidP="00B83768">
          <w:pPr>
            <w:pStyle w:val="Piedepgina"/>
          </w:pPr>
        </w:p>
      </w:tc>
    </w:tr>
  </w:tbl>
  <w:p w14:paraId="4DDF0A6B" w14:textId="77777777" w:rsidR="004A449E" w:rsidRDefault="004A449E" w:rsidP="00B62DC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ACD2D" w14:textId="77777777" w:rsidR="00AC2536" w:rsidRDefault="00AC2536" w:rsidP="000B6285">
      <w:r>
        <w:separator/>
      </w:r>
    </w:p>
  </w:footnote>
  <w:footnote w:type="continuationSeparator" w:id="0">
    <w:p w14:paraId="09C9FE57" w14:textId="77777777" w:rsidR="00AC2536" w:rsidRDefault="00AC2536" w:rsidP="000B6285">
      <w:r>
        <w:continuationSeparator/>
      </w:r>
    </w:p>
  </w:footnote>
  <w:footnote w:id="1">
    <w:p w14:paraId="32A4686C" w14:textId="77777777" w:rsidR="002F7C3A" w:rsidRPr="00F17420" w:rsidRDefault="002F7C3A" w:rsidP="002F7C3A">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2">
    <w:p w14:paraId="6846BEF0" w14:textId="77777777" w:rsidR="002F7C3A" w:rsidRPr="009F07D2" w:rsidRDefault="002F7C3A" w:rsidP="002F7C3A">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Documento de Licitación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 w:id="3">
    <w:p w14:paraId="7D17F6DE" w14:textId="77777777" w:rsidR="002F7C3A" w:rsidRPr="009F07D2" w:rsidRDefault="002F7C3A" w:rsidP="002F7C3A">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w:t>
      </w:r>
      <w:bookmarkStart w:id="5" w:name="_GoBack"/>
      <w:r w:rsidRPr="006B0A9A">
        <w:rPr>
          <w:sz w:val="18"/>
          <w:szCs w:val="18"/>
          <w:lang w:val="es-ES"/>
        </w:rPr>
        <w:t xml:space="preserve">Consisten en actividades de constatación realizadas por el Banco o por personas nombradas por este para abordar asuntos </w:t>
      </w:r>
      <w:bookmarkEnd w:id="5"/>
      <w:r w:rsidRPr="006B0A9A">
        <w:rPr>
          <w:sz w:val="18"/>
          <w:szCs w:val="18"/>
          <w:lang w:val="es-ES"/>
        </w:rPr>
        <w:t>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4DDA" w14:textId="77777777" w:rsidR="00765D0E" w:rsidRDefault="00765D0E"/>
  <w:tbl>
    <w:tblPr>
      <w:tblStyle w:val="Tablaconcuadrcula"/>
      <w:tblW w:w="1094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3"/>
      <w:gridCol w:w="6798"/>
      <w:gridCol w:w="2018"/>
    </w:tblGrid>
    <w:tr w:rsidR="00B62DCB" w14:paraId="11D486C1" w14:textId="77777777" w:rsidTr="00765D0E">
      <w:trPr>
        <w:trHeight w:val="1550"/>
      </w:trPr>
      <w:tc>
        <w:tcPr>
          <w:tcW w:w="2133" w:type="dxa"/>
        </w:tcPr>
        <w:p w14:paraId="06DD7E1D" w14:textId="77777777" w:rsidR="00B62DCB" w:rsidRPr="00B62DCB" w:rsidRDefault="00B62DCB" w:rsidP="00B62DCB">
          <w:pPr>
            <w:pStyle w:val="Piedepgina"/>
            <w:jc w:val="center"/>
            <w:rPr>
              <w:noProof/>
              <w:sz w:val="18"/>
              <w:szCs w:val="18"/>
            </w:rPr>
          </w:pPr>
        </w:p>
        <w:p w14:paraId="7A3BD0CF" w14:textId="28FD9DD8" w:rsidR="00B62DCB" w:rsidRDefault="00CE41C1" w:rsidP="00B62DCB">
          <w:pPr>
            <w:pStyle w:val="Piedepgina"/>
            <w:jc w:val="center"/>
          </w:pPr>
          <w:r>
            <w:rPr>
              <w:noProof/>
              <w:lang w:val="es-CO"/>
            </w:rPr>
            <w:drawing>
              <wp:inline distT="0" distB="0" distL="0" distR="0" wp14:anchorId="249D255D" wp14:editId="3BAF159C">
                <wp:extent cx="378962" cy="64089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sinchi.png"/>
                        <pic:cNvPicPr/>
                      </pic:nvPicPr>
                      <pic:blipFill>
                        <a:blip r:embed="rId1">
                          <a:extLst>
                            <a:ext uri="{28A0092B-C50C-407E-A947-70E740481C1C}">
                              <a14:useLocalDpi xmlns:a14="http://schemas.microsoft.com/office/drawing/2010/main" val="0"/>
                            </a:ext>
                          </a:extLst>
                        </a:blip>
                        <a:stretch>
                          <a:fillRect/>
                        </a:stretch>
                      </pic:blipFill>
                      <pic:spPr>
                        <a:xfrm>
                          <a:off x="0" y="0"/>
                          <a:ext cx="401208" cy="678518"/>
                        </a:xfrm>
                        <a:prstGeom prst="rect">
                          <a:avLst/>
                        </a:prstGeom>
                      </pic:spPr>
                    </pic:pic>
                  </a:graphicData>
                </a:graphic>
              </wp:inline>
            </w:drawing>
          </w:r>
        </w:p>
        <w:p w14:paraId="63C690D4" w14:textId="77777777" w:rsidR="00B62DCB" w:rsidRDefault="00B62DCB" w:rsidP="00B62DCB">
          <w:pPr>
            <w:pStyle w:val="Piedepgina"/>
            <w:jc w:val="center"/>
          </w:pPr>
        </w:p>
      </w:tc>
      <w:tc>
        <w:tcPr>
          <w:tcW w:w="6798" w:type="dxa"/>
        </w:tcPr>
        <w:p w14:paraId="53AF0A21" w14:textId="77777777" w:rsidR="00B62DCB" w:rsidRDefault="00D83774" w:rsidP="00D83774">
          <w:pPr>
            <w:pStyle w:val="Piedepgina"/>
            <w:tabs>
              <w:tab w:val="left" w:pos="2235"/>
            </w:tabs>
          </w:pPr>
          <w:r>
            <w:tab/>
          </w:r>
        </w:p>
      </w:tc>
      <w:tc>
        <w:tcPr>
          <w:tcW w:w="2018" w:type="dxa"/>
        </w:tcPr>
        <w:p w14:paraId="7D246A27" w14:textId="77777777" w:rsidR="00B62DCB" w:rsidRDefault="00B62DCB" w:rsidP="00B62DCB">
          <w:pPr>
            <w:pStyle w:val="Piedepgina"/>
            <w:jc w:val="center"/>
            <w:rPr>
              <w:noProof/>
              <w:sz w:val="18"/>
              <w:szCs w:val="18"/>
            </w:rPr>
          </w:pPr>
        </w:p>
        <w:p w14:paraId="79095605" w14:textId="77777777" w:rsidR="00765D0E" w:rsidRPr="00B62DCB" w:rsidRDefault="00765D0E" w:rsidP="00B62DCB">
          <w:pPr>
            <w:pStyle w:val="Piedepgina"/>
            <w:jc w:val="center"/>
            <w:rPr>
              <w:noProof/>
              <w:sz w:val="18"/>
              <w:szCs w:val="18"/>
            </w:rPr>
          </w:pPr>
        </w:p>
        <w:p w14:paraId="763607C2" w14:textId="52A6F591" w:rsidR="00B62DCB" w:rsidRDefault="00CE41C1" w:rsidP="00B62DCB">
          <w:pPr>
            <w:pStyle w:val="Piedepgina"/>
            <w:jc w:val="center"/>
          </w:pPr>
          <w:r>
            <w:rPr>
              <w:noProof/>
              <w:lang w:val="es-CO"/>
            </w:rPr>
            <w:drawing>
              <wp:inline distT="0" distB="0" distL="0" distR="0" wp14:anchorId="6A27AC84" wp14:editId="2E1AFD42">
                <wp:extent cx="1189527" cy="323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ambiente PNG.png"/>
                        <pic:cNvPicPr/>
                      </pic:nvPicPr>
                      <pic:blipFill>
                        <a:blip r:embed="rId2">
                          <a:extLst>
                            <a:ext uri="{28A0092B-C50C-407E-A947-70E740481C1C}">
                              <a14:useLocalDpi xmlns:a14="http://schemas.microsoft.com/office/drawing/2010/main" val="0"/>
                            </a:ext>
                          </a:extLst>
                        </a:blip>
                        <a:stretch>
                          <a:fillRect/>
                        </a:stretch>
                      </pic:blipFill>
                      <pic:spPr>
                        <a:xfrm>
                          <a:off x="0" y="0"/>
                          <a:ext cx="1214979" cy="330779"/>
                        </a:xfrm>
                        <a:prstGeom prst="rect">
                          <a:avLst/>
                        </a:prstGeom>
                      </pic:spPr>
                    </pic:pic>
                  </a:graphicData>
                </a:graphic>
              </wp:inline>
            </w:drawing>
          </w:r>
        </w:p>
      </w:tc>
    </w:tr>
  </w:tbl>
  <w:p w14:paraId="21425589" w14:textId="77777777" w:rsidR="000B6285" w:rsidRPr="00B62DCB" w:rsidRDefault="000B6285" w:rsidP="00765D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B1694"/>
    <w:multiLevelType w:val="singleLevel"/>
    <w:tmpl w:val="D1F2C1FC"/>
    <w:lvl w:ilvl="0">
      <w:start w:val="1"/>
      <w:numFmt w:val="upperRoman"/>
      <w:pStyle w:val="Ttulo2"/>
      <w:lvlText w:val="%1."/>
      <w:lvlJc w:val="left"/>
      <w:pPr>
        <w:tabs>
          <w:tab w:val="num" w:pos="720"/>
        </w:tabs>
        <w:ind w:left="720" w:hanging="720"/>
      </w:pPr>
      <w:rPr>
        <w:rFonts w:hint="default"/>
      </w:rPr>
    </w:lvl>
  </w:abstractNum>
  <w:abstractNum w:abstractNumId="1" w15:restartNumberingAfterBreak="0">
    <w:nsid w:val="0E3D7151"/>
    <w:multiLevelType w:val="hybridMultilevel"/>
    <w:tmpl w:val="8FCAA624"/>
    <w:lvl w:ilvl="0" w:tplc="2E90AB7A">
      <w:start w:val="1"/>
      <w:numFmt w:val="decimal"/>
      <w:lvlText w:val="%1."/>
      <w:lvlJc w:val="left"/>
      <w:pPr>
        <w:ind w:left="720" w:hanging="360"/>
      </w:pPr>
      <w:rPr>
        <w:b/>
      </w:rPr>
    </w:lvl>
    <w:lvl w:ilvl="1" w:tplc="240A0019">
      <w:start w:val="1"/>
      <w:numFmt w:val="lowerLetter"/>
      <w:lvlText w:val="%2."/>
      <w:lvlJc w:val="left"/>
      <w:pPr>
        <w:ind w:left="1440" w:hanging="360"/>
      </w:pPr>
    </w:lvl>
    <w:lvl w:ilvl="2" w:tplc="8834B440">
      <w:start w:val="1"/>
      <w:numFmt w:val="lowerRoman"/>
      <w:lvlText w:val="(%3)"/>
      <w:lvlJc w:val="left"/>
      <w:pPr>
        <w:ind w:left="2700" w:hanging="720"/>
      </w:pPr>
      <w:rPr>
        <w:rFonts w:hint="default"/>
        <w:b w:val="0"/>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96473B"/>
    <w:multiLevelType w:val="hybridMultilevel"/>
    <w:tmpl w:val="2B3C19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7C2823"/>
    <w:multiLevelType w:val="hybridMultilevel"/>
    <w:tmpl w:val="2FD68586"/>
    <w:lvl w:ilvl="0" w:tplc="30186BF6">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357B1A"/>
    <w:multiLevelType w:val="multilevel"/>
    <w:tmpl w:val="D60C1386"/>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2F53FC"/>
    <w:multiLevelType w:val="multilevel"/>
    <w:tmpl w:val="E474BCF8"/>
    <w:lvl w:ilvl="0">
      <w:start w:val="7"/>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434E0"/>
    <w:multiLevelType w:val="hybridMultilevel"/>
    <w:tmpl w:val="96BE973C"/>
    <w:lvl w:ilvl="0" w:tplc="14D6D09C">
      <w:start w:val="1"/>
      <w:numFmt w:val="lowerLetter"/>
      <w:lvlText w:val="(%1)"/>
      <w:lvlJc w:val="left"/>
      <w:pPr>
        <w:ind w:left="1528" w:hanging="360"/>
      </w:pPr>
      <w:rPr>
        <w:rFonts w:hint="default"/>
        <w:b w:val="0"/>
      </w:rPr>
    </w:lvl>
    <w:lvl w:ilvl="1" w:tplc="240A0019" w:tentative="1">
      <w:start w:val="1"/>
      <w:numFmt w:val="lowerLetter"/>
      <w:lvlText w:val="%2."/>
      <w:lvlJc w:val="left"/>
      <w:pPr>
        <w:ind w:left="2248" w:hanging="360"/>
      </w:pPr>
    </w:lvl>
    <w:lvl w:ilvl="2" w:tplc="240A001B" w:tentative="1">
      <w:start w:val="1"/>
      <w:numFmt w:val="lowerRoman"/>
      <w:lvlText w:val="%3."/>
      <w:lvlJc w:val="right"/>
      <w:pPr>
        <w:ind w:left="2968" w:hanging="180"/>
      </w:pPr>
    </w:lvl>
    <w:lvl w:ilvl="3" w:tplc="240A000F" w:tentative="1">
      <w:start w:val="1"/>
      <w:numFmt w:val="decimal"/>
      <w:lvlText w:val="%4."/>
      <w:lvlJc w:val="left"/>
      <w:pPr>
        <w:ind w:left="3688" w:hanging="360"/>
      </w:pPr>
    </w:lvl>
    <w:lvl w:ilvl="4" w:tplc="240A0019" w:tentative="1">
      <w:start w:val="1"/>
      <w:numFmt w:val="lowerLetter"/>
      <w:lvlText w:val="%5."/>
      <w:lvlJc w:val="left"/>
      <w:pPr>
        <w:ind w:left="4408" w:hanging="360"/>
      </w:pPr>
    </w:lvl>
    <w:lvl w:ilvl="5" w:tplc="240A001B" w:tentative="1">
      <w:start w:val="1"/>
      <w:numFmt w:val="lowerRoman"/>
      <w:lvlText w:val="%6."/>
      <w:lvlJc w:val="right"/>
      <w:pPr>
        <w:ind w:left="5128" w:hanging="180"/>
      </w:pPr>
    </w:lvl>
    <w:lvl w:ilvl="6" w:tplc="240A000F" w:tentative="1">
      <w:start w:val="1"/>
      <w:numFmt w:val="decimal"/>
      <w:lvlText w:val="%7."/>
      <w:lvlJc w:val="left"/>
      <w:pPr>
        <w:ind w:left="5848" w:hanging="360"/>
      </w:pPr>
    </w:lvl>
    <w:lvl w:ilvl="7" w:tplc="240A0019" w:tentative="1">
      <w:start w:val="1"/>
      <w:numFmt w:val="lowerLetter"/>
      <w:lvlText w:val="%8."/>
      <w:lvlJc w:val="left"/>
      <w:pPr>
        <w:ind w:left="6568" w:hanging="360"/>
      </w:pPr>
    </w:lvl>
    <w:lvl w:ilvl="8" w:tplc="240A001B" w:tentative="1">
      <w:start w:val="1"/>
      <w:numFmt w:val="lowerRoman"/>
      <w:lvlText w:val="%9."/>
      <w:lvlJc w:val="right"/>
      <w:pPr>
        <w:ind w:left="7288" w:hanging="180"/>
      </w:pPr>
    </w:lvl>
  </w:abstractNum>
  <w:abstractNum w:abstractNumId="9" w15:restartNumberingAfterBreak="0">
    <w:nsid w:val="307B2CB5"/>
    <w:multiLevelType w:val="singleLevel"/>
    <w:tmpl w:val="C62ACDEE"/>
    <w:lvl w:ilvl="0">
      <w:start w:val="1"/>
      <w:numFmt w:val="lowerLetter"/>
      <w:lvlText w:val="%1."/>
      <w:lvlJc w:val="left"/>
      <w:pPr>
        <w:tabs>
          <w:tab w:val="num" w:pos="720"/>
        </w:tabs>
        <w:ind w:left="720" w:hanging="720"/>
      </w:pPr>
      <w:rPr>
        <w:rFonts w:hint="default"/>
      </w:rPr>
    </w:lvl>
  </w:abstractNum>
  <w:abstractNum w:abstractNumId="10" w15:restartNumberingAfterBreak="0">
    <w:nsid w:val="3B1F4B9B"/>
    <w:multiLevelType w:val="hybridMultilevel"/>
    <w:tmpl w:val="110C53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121EF0"/>
    <w:multiLevelType w:val="hybridMultilevel"/>
    <w:tmpl w:val="3272B2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5505FD"/>
    <w:multiLevelType w:val="hybridMultilevel"/>
    <w:tmpl w:val="B09C02F2"/>
    <w:lvl w:ilvl="0" w:tplc="3820AF60">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2C53F7"/>
    <w:multiLevelType w:val="hybridMultilevel"/>
    <w:tmpl w:val="94169AAE"/>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D334DA"/>
    <w:multiLevelType w:val="hybridMultilevel"/>
    <w:tmpl w:val="5094994A"/>
    <w:lvl w:ilvl="0" w:tplc="1E142474">
      <w:start w:val="1"/>
      <w:numFmt w:val="lowerLetter"/>
      <w:lvlText w:val="%1)"/>
      <w:lvlJc w:val="left"/>
      <w:pPr>
        <w:ind w:left="2160" w:hanging="360"/>
      </w:pPr>
      <w:rPr>
        <w:b w:val="0"/>
      </w:rPr>
    </w:lvl>
    <w:lvl w:ilvl="1" w:tplc="240A0019">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5" w15:restartNumberingAfterBreak="0">
    <w:nsid w:val="6A075572"/>
    <w:multiLevelType w:val="multilevel"/>
    <w:tmpl w:val="787CC616"/>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1376F0"/>
    <w:multiLevelType w:val="hybridMultilevel"/>
    <w:tmpl w:val="5AC2450A"/>
    <w:lvl w:ilvl="0" w:tplc="240A0017">
      <w:start w:val="1"/>
      <w:numFmt w:val="lowerLetter"/>
      <w:lvlText w:val="%1)"/>
      <w:lvlJc w:val="left"/>
      <w:pPr>
        <w:ind w:left="720" w:hanging="360"/>
      </w:pPr>
      <w:rPr>
        <w:b/>
      </w:rPr>
    </w:lvl>
    <w:lvl w:ilvl="1" w:tplc="240A0019">
      <w:start w:val="1"/>
      <w:numFmt w:val="lowerLetter"/>
      <w:lvlText w:val="%2."/>
      <w:lvlJc w:val="left"/>
      <w:pPr>
        <w:ind w:left="1440" w:hanging="360"/>
      </w:pPr>
    </w:lvl>
    <w:lvl w:ilvl="2" w:tplc="8834B440">
      <w:start w:val="1"/>
      <w:numFmt w:val="lowerRoman"/>
      <w:lvlText w:val="(%3)"/>
      <w:lvlJc w:val="left"/>
      <w:pPr>
        <w:ind w:left="2700" w:hanging="720"/>
      </w:pPr>
      <w:rPr>
        <w:rFonts w:hint="default"/>
        <w:b w:val="0"/>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14"/>
  </w:num>
  <w:num w:numId="5">
    <w:abstractNumId w:val="3"/>
  </w:num>
  <w:num w:numId="6">
    <w:abstractNumId w:val="17"/>
  </w:num>
  <w:num w:numId="7">
    <w:abstractNumId w:val="9"/>
  </w:num>
  <w:num w:numId="8">
    <w:abstractNumId w:val="6"/>
  </w:num>
  <w:num w:numId="9">
    <w:abstractNumId w:val="10"/>
  </w:num>
  <w:num w:numId="10">
    <w:abstractNumId w:val="12"/>
  </w:num>
  <w:num w:numId="11">
    <w:abstractNumId w:val="8"/>
  </w:num>
  <w:num w:numId="12">
    <w:abstractNumId w:val="4"/>
  </w:num>
  <w:num w:numId="13">
    <w:abstractNumId w:val="13"/>
  </w:num>
  <w:num w:numId="14">
    <w:abstractNumId w:val="11"/>
  </w:num>
  <w:num w:numId="15">
    <w:abstractNumId w:val="19"/>
  </w:num>
  <w:num w:numId="16">
    <w:abstractNumId w:val="5"/>
  </w:num>
  <w:num w:numId="17">
    <w:abstractNumId w:val="18"/>
  </w:num>
  <w:num w:numId="18">
    <w:abstractNumId w:val="15"/>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85"/>
    <w:rsid w:val="00005A66"/>
    <w:rsid w:val="000127F9"/>
    <w:rsid w:val="00034046"/>
    <w:rsid w:val="00034207"/>
    <w:rsid w:val="00034FD3"/>
    <w:rsid w:val="0004790E"/>
    <w:rsid w:val="000575A3"/>
    <w:rsid w:val="000B1F2C"/>
    <w:rsid w:val="000B6285"/>
    <w:rsid w:val="00114510"/>
    <w:rsid w:val="001226D3"/>
    <w:rsid w:val="00156E49"/>
    <w:rsid w:val="001A68DB"/>
    <w:rsid w:val="001D0B4B"/>
    <w:rsid w:val="00202DD6"/>
    <w:rsid w:val="00207783"/>
    <w:rsid w:val="0022226B"/>
    <w:rsid w:val="002614F3"/>
    <w:rsid w:val="00270535"/>
    <w:rsid w:val="002A473B"/>
    <w:rsid w:val="002D5695"/>
    <w:rsid w:val="002F7C3A"/>
    <w:rsid w:val="003634F9"/>
    <w:rsid w:val="003671AF"/>
    <w:rsid w:val="00384A50"/>
    <w:rsid w:val="003874AB"/>
    <w:rsid w:val="003B58C7"/>
    <w:rsid w:val="004063B7"/>
    <w:rsid w:val="00473F75"/>
    <w:rsid w:val="004A01E4"/>
    <w:rsid w:val="004A36E0"/>
    <w:rsid w:val="004A449E"/>
    <w:rsid w:val="004B0278"/>
    <w:rsid w:val="004B4128"/>
    <w:rsid w:val="00536E57"/>
    <w:rsid w:val="00554444"/>
    <w:rsid w:val="005566D0"/>
    <w:rsid w:val="005665C5"/>
    <w:rsid w:val="005B00C9"/>
    <w:rsid w:val="00626B00"/>
    <w:rsid w:val="006309CE"/>
    <w:rsid w:val="0064200C"/>
    <w:rsid w:val="00663E7E"/>
    <w:rsid w:val="00665422"/>
    <w:rsid w:val="00667FB4"/>
    <w:rsid w:val="00720375"/>
    <w:rsid w:val="007250C4"/>
    <w:rsid w:val="00765D0E"/>
    <w:rsid w:val="0077780B"/>
    <w:rsid w:val="00783ED4"/>
    <w:rsid w:val="0078517C"/>
    <w:rsid w:val="00791857"/>
    <w:rsid w:val="007978E1"/>
    <w:rsid w:val="007B5E50"/>
    <w:rsid w:val="007D0938"/>
    <w:rsid w:val="007D09A3"/>
    <w:rsid w:val="007D5307"/>
    <w:rsid w:val="008069B3"/>
    <w:rsid w:val="008212C8"/>
    <w:rsid w:val="00864437"/>
    <w:rsid w:val="00871079"/>
    <w:rsid w:val="008B229F"/>
    <w:rsid w:val="009304AA"/>
    <w:rsid w:val="00937115"/>
    <w:rsid w:val="00982C35"/>
    <w:rsid w:val="009C1301"/>
    <w:rsid w:val="00A250C2"/>
    <w:rsid w:val="00A31D5F"/>
    <w:rsid w:val="00A74DDE"/>
    <w:rsid w:val="00AC2536"/>
    <w:rsid w:val="00AE4B39"/>
    <w:rsid w:val="00AF1830"/>
    <w:rsid w:val="00B031FF"/>
    <w:rsid w:val="00B133E3"/>
    <w:rsid w:val="00B62DCB"/>
    <w:rsid w:val="00B659AC"/>
    <w:rsid w:val="00B7054B"/>
    <w:rsid w:val="00B774F9"/>
    <w:rsid w:val="00B83768"/>
    <w:rsid w:val="00B97C57"/>
    <w:rsid w:val="00BB213C"/>
    <w:rsid w:val="00BC19AB"/>
    <w:rsid w:val="00BE0F62"/>
    <w:rsid w:val="00C04DF7"/>
    <w:rsid w:val="00C21957"/>
    <w:rsid w:val="00C84752"/>
    <w:rsid w:val="00CA2BF0"/>
    <w:rsid w:val="00CA4644"/>
    <w:rsid w:val="00CA5683"/>
    <w:rsid w:val="00CB034E"/>
    <w:rsid w:val="00CE23E1"/>
    <w:rsid w:val="00CE41C1"/>
    <w:rsid w:val="00CE67D1"/>
    <w:rsid w:val="00CF736D"/>
    <w:rsid w:val="00D6126B"/>
    <w:rsid w:val="00D81382"/>
    <w:rsid w:val="00D83774"/>
    <w:rsid w:val="00D90A31"/>
    <w:rsid w:val="00E8612F"/>
    <w:rsid w:val="00EE6D49"/>
    <w:rsid w:val="00F10F38"/>
    <w:rsid w:val="00F12082"/>
    <w:rsid w:val="00F1274C"/>
    <w:rsid w:val="00F23501"/>
    <w:rsid w:val="00F35900"/>
    <w:rsid w:val="00F672BA"/>
    <w:rsid w:val="00F9672F"/>
    <w:rsid w:val="00FD3471"/>
    <w:rsid w:val="00FE06C6"/>
    <w:rsid w:val="00FF0EE5"/>
    <w:rsid w:val="00FF600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801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CB"/>
    <w:pPr>
      <w:spacing w:after="0" w:line="240" w:lineRule="auto"/>
    </w:pPr>
    <w:rPr>
      <w:rFonts w:ascii="Times New Roman" w:eastAsia="Times New Roman" w:hAnsi="Times New Roman" w:cs="Times New Roman"/>
      <w:sz w:val="20"/>
      <w:szCs w:val="20"/>
      <w:lang w:val="es-ES_tradnl" w:eastAsia="es-CO"/>
    </w:rPr>
  </w:style>
  <w:style w:type="paragraph" w:styleId="Ttulo2">
    <w:name w:val="heading 2"/>
    <w:basedOn w:val="Normal"/>
    <w:next w:val="Normal"/>
    <w:link w:val="Ttulo2Car"/>
    <w:uiPriority w:val="9"/>
    <w:qFormat/>
    <w:rsid w:val="00B62DCB"/>
    <w:pPr>
      <w:keepNext/>
      <w:widowControl w:val="0"/>
      <w:numPr>
        <w:numId w:val="1"/>
      </w:numPr>
      <w:suppressAutoHyphens/>
      <w:outlineLvl w:val="1"/>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285"/>
    <w:pPr>
      <w:tabs>
        <w:tab w:val="center" w:pos="4419"/>
        <w:tab w:val="right" w:pos="8838"/>
      </w:tabs>
    </w:pPr>
  </w:style>
  <w:style w:type="character" w:customStyle="1" w:styleId="EncabezadoCar">
    <w:name w:val="Encabezado Car"/>
    <w:basedOn w:val="Fuentedeprrafopredeter"/>
    <w:link w:val="Encabezado"/>
    <w:uiPriority w:val="99"/>
    <w:rsid w:val="000B6285"/>
  </w:style>
  <w:style w:type="paragraph" w:styleId="Piedepgina">
    <w:name w:val="footer"/>
    <w:basedOn w:val="Normal"/>
    <w:link w:val="PiedepginaCar"/>
    <w:uiPriority w:val="99"/>
    <w:unhideWhenUsed/>
    <w:rsid w:val="000B6285"/>
    <w:pPr>
      <w:tabs>
        <w:tab w:val="center" w:pos="4419"/>
        <w:tab w:val="right" w:pos="8838"/>
      </w:tabs>
    </w:pPr>
  </w:style>
  <w:style w:type="character" w:customStyle="1" w:styleId="PiedepginaCar">
    <w:name w:val="Pie de página Car"/>
    <w:basedOn w:val="Fuentedeprrafopredeter"/>
    <w:link w:val="Piedepgina"/>
    <w:uiPriority w:val="99"/>
    <w:rsid w:val="000B6285"/>
  </w:style>
  <w:style w:type="table" w:styleId="Tablaconcuadrcula">
    <w:name w:val="Table Grid"/>
    <w:basedOn w:val="Tablanormal"/>
    <w:rsid w:val="004A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62DCB"/>
    <w:rPr>
      <w:rFonts w:ascii="Times New Roman" w:eastAsia="Times New Roman" w:hAnsi="Times New Roman" w:cs="Times New Roman"/>
      <w:b/>
      <w:szCs w:val="20"/>
      <w:lang w:val="es-ES_tradnl" w:eastAsia="es-CO"/>
    </w:rPr>
  </w:style>
  <w:style w:type="paragraph" w:styleId="Textoindependiente">
    <w:name w:val="Body Text"/>
    <w:basedOn w:val="Normal"/>
    <w:link w:val="TextoindependienteCar"/>
    <w:rsid w:val="00B62DCB"/>
    <w:pPr>
      <w:widowControl w:val="0"/>
      <w:suppressAutoHyphens/>
      <w:jc w:val="both"/>
    </w:pPr>
    <w:rPr>
      <w:rFonts w:ascii="Arial" w:hAnsi="Arial"/>
      <w:sz w:val="24"/>
    </w:rPr>
  </w:style>
  <w:style w:type="character" w:customStyle="1" w:styleId="TextoindependienteCar">
    <w:name w:val="Texto independiente Car"/>
    <w:basedOn w:val="Fuentedeprrafopredeter"/>
    <w:link w:val="Textoindependiente"/>
    <w:rsid w:val="00B62DCB"/>
    <w:rPr>
      <w:rFonts w:ascii="Arial" w:eastAsia="Times New Roman" w:hAnsi="Arial" w:cs="Times New Roman"/>
      <w:sz w:val="24"/>
      <w:szCs w:val="20"/>
      <w:lang w:val="es-ES_tradnl" w:eastAsia="es-CO"/>
    </w:rPr>
  </w:style>
  <w:style w:type="paragraph" w:styleId="Textodeglobo">
    <w:name w:val="Balloon Text"/>
    <w:basedOn w:val="Normal"/>
    <w:link w:val="TextodegloboCar"/>
    <w:uiPriority w:val="99"/>
    <w:semiHidden/>
    <w:unhideWhenUsed/>
    <w:rsid w:val="00765D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5D0E"/>
    <w:rPr>
      <w:rFonts w:ascii="Segoe UI" w:eastAsia="Times New Roman" w:hAnsi="Segoe UI" w:cs="Segoe UI"/>
      <w:sz w:val="18"/>
      <w:szCs w:val="18"/>
      <w:lang w:val="es-ES_tradnl" w:eastAsia="es-CO"/>
    </w:rPr>
  </w:style>
  <w:style w:type="paragraph" w:styleId="Prrafodelista">
    <w:name w:val="List Paragraph"/>
    <w:aliases w:val="Citation List,본문(내용),List Paragraph (numbered (a)),Colorful List - Accent 11"/>
    <w:basedOn w:val="Normal"/>
    <w:link w:val="PrrafodelistaCar"/>
    <w:uiPriority w:val="34"/>
    <w:qFormat/>
    <w:rsid w:val="00CE23E1"/>
    <w:pPr>
      <w:ind w:left="720"/>
      <w:contextualSpacing/>
    </w:p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783ED4"/>
    <w:rPr>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783ED4"/>
    <w:rPr>
      <w:rFonts w:ascii="Times New Roman" w:eastAsia="Times New Roman" w:hAnsi="Times New Roman" w:cs="Times New Roman"/>
      <w:sz w:val="20"/>
      <w:szCs w:val="20"/>
      <w:lang w:val="en-US"/>
    </w:rPr>
  </w:style>
  <w:style w:type="character" w:styleId="Refdenotaalpie">
    <w:name w:val="footnote reference"/>
    <w:rsid w:val="00783ED4"/>
    <w:rPr>
      <w:vertAlign w:val="superscript"/>
    </w:rPr>
  </w:style>
  <w:style w:type="character" w:customStyle="1" w:styleId="PrrafodelistaCar">
    <w:name w:val="Párrafo de lista Car"/>
    <w:aliases w:val="Citation List Car,본문(내용) Car,List Paragraph (numbered (a)) Car,Colorful List - Accent 11 Car"/>
    <w:basedOn w:val="Fuentedeprrafopredeter"/>
    <w:link w:val="Prrafodelista"/>
    <w:uiPriority w:val="34"/>
    <w:rsid w:val="002F7C3A"/>
    <w:rPr>
      <w:rFonts w:ascii="Times New Roman" w:eastAsia="Times New Roman" w:hAnsi="Times New Roman" w:cs="Times New Roman"/>
      <w:sz w:val="20"/>
      <w:szCs w:val="20"/>
      <w:lang w:val="es-ES_tradnl" w:eastAsia="es-CO"/>
    </w:rPr>
  </w:style>
  <w:style w:type="paragraph" w:customStyle="1" w:styleId="Tabla1Subtitulo">
    <w:name w:val="Tabla 1 Subtitulo"/>
    <w:basedOn w:val="Normal"/>
    <w:link w:val="Tabla1SubtituloCar"/>
    <w:qFormat/>
    <w:rsid w:val="002F7C3A"/>
    <w:pPr>
      <w:spacing w:before="120" w:after="240"/>
      <w:jc w:val="center"/>
    </w:pPr>
    <w:rPr>
      <w:b/>
      <w:bCs/>
      <w:sz w:val="44"/>
      <w:szCs w:val="24"/>
      <w:lang w:val="es-ES" w:eastAsia="en-US"/>
    </w:rPr>
  </w:style>
  <w:style w:type="character" w:customStyle="1" w:styleId="Tabla1SubtituloCar">
    <w:name w:val="Tabla 1 Subtitulo Car"/>
    <w:basedOn w:val="Fuentedeprrafopredeter"/>
    <w:link w:val="Tabla1Subtitulo"/>
    <w:rsid w:val="002F7C3A"/>
    <w:rPr>
      <w:rFonts w:ascii="Times New Roman" w:eastAsia="Times New Roman" w:hAnsi="Times New Roman" w:cs="Times New Roman"/>
      <w:b/>
      <w:bCs/>
      <w:sz w:val="4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769866">
      <w:bodyDiv w:val="1"/>
      <w:marLeft w:val="0"/>
      <w:marRight w:val="0"/>
      <w:marTop w:val="0"/>
      <w:marBottom w:val="0"/>
      <w:divBdr>
        <w:top w:val="none" w:sz="0" w:space="0" w:color="auto"/>
        <w:left w:val="none" w:sz="0" w:space="0" w:color="auto"/>
        <w:bottom w:val="none" w:sz="0" w:space="0" w:color="auto"/>
        <w:right w:val="none" w:sz="0" w:space="0" w:color="auto"/>
      </w:divBdr>
    </w:div>
    <w:div w:id="2061779092">
      <w:bodyDiv w:val="1"/>
      <w:marLeft w:val="0"/>
      <w:marRight w:val="0"/>
      <w:marTop w:val="0"/>
      <w:marBottom w:val="0"/>
      <w:divBdr>
        <w:top w:val="none" w:sz="0" w:space="0" w:color="auto"/>
        <w:left w:val="none" w:sz="0" w:space="0" w:color="auto"/>
        <w:bottom w:val="none" w:sz="0" w:space="0" w:color="auto"/>
        <w:right w:val="none" w:sz="0" w:space="0" w:color="auto"/>
      </w:divBdr>
      <w:divsChild>
        <w:div w:id="105200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garzon</dc:creator>
  <cp:keywords/>
  <dc:description/>
  <cp:lastModifiedBy>laura Daniela Leal Oviedo</cp:lastModifiedBy>
  <cp:revision>3</cp:revision>
  <cp:lastPrinted>2019-01-23T16:32:00Z</cp:lastPrinted>
  <dcterms:created xsi:type="dcterms:W3CDTF">2019-01-23T16:46:00Z</dcterms:created>
  <dcterms:modified xsi:type="dcterms:W3CDTF">2019-03-27T22:51:00Z</dcterms:modified>
</cp:coreProperties>
</file>